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620" w:lineRule="exact"/>
        <w:jc w:val="center"/>
        <w:outlineLvl w:val="0"/>
        <w:rPr>
          <w:rFonts w:hint="default" w:ascii="黑体" w:hAnsi="黑体" w:eastAsia="黑体"/>
          <w:b/>
          <w:bCs/>
          <w:kern w:val="44"/>
          <w:sz w:val="36"/>
          <w:szCs w:val="44"/>
          <w:lang w:val="en-US" w:eastAsia="zh-CN"/>
        </w:rPr>
      </w:pPr>
      <w:bookmarkStart w:id="0" w:name="OLE_LINK10"/>
      <w:bookmarkStart w:id="1" w:name="OLE_LINK9"/>
      <w:r>
        <w:rPr>
          <w:rFonts w:hint="eastAsia" w:ascii="黑体" w:hAnsi="黑体" w:eastAsia="黑体"/>
          <w:b/>
          <w:bCs/>
          <w:kern w:val="44"/>
          <w:sz w:val="36"/>
          <w:szCs w:val="44"/>
          <w:lang w:val="en-US" w:eastAsia="zh-CN"/>
        </w:rPr>
        <w:t>湖州师范学院</w:t>
      </w:r>
    </w:p>
    <w:p>
      <w:pPr>
        <w:keepNext/>
        <w:keepLines/>
        <w:spacing w:line="620" w:lineRule="exact"/>
        <w:jc w:val="center"/>
        <w:outlineLvl w:val="0"/>
        <w:rPr>
          <w:rFonts w:ascii="黑体" w:hAnsi="黑体" w:eastAsia="黑体"/>
          <w:b/>
          <w:bCs/>
          <w:szCs w:val="32"/>
        </w:rPr>
      </w:pPr>
      <w:r>
        <w:rPr>
          <w:rFonts w:hint="eastAsia" w:ascii="黑体" w:hAnsi="黑体" w:eastAsia="黑体"/>
          <w:b/>
          <w:bCs/>
          <w:kern w:val="44"/>
          <w:sz w:val="36"/>
          <w:szCs w:val="44"/>
        </w:rPr>
        <w:t>申请增设教育硕士学科领域基本条件对照表</w:t>
      </w:r>
      <w:bookmarkEnd w:id="0"/>
      <w:bookmarkEnd w:id="1"/>
    </w:p>
    <w:p>
      <w:pPr>
        <w:adjustRightInd w:val="0"/>
        <w:spacing w:line="560" w:lineRule="exact"/>
        <w:ind w:firstLine="640" w:firstLineChars="200"/>
        <w:contextualSpacing/>
        <w:rPr>
          <w:rFonts w:ascii="Times New Roman" w:eastAsia="方正仿宋简体"/>
          <w:bCs/>
          <w:szCs w:val="32"/>
        </w:rPr>
      </w:pPr>
    </w:p>
    <w:p>
      <w:pPr>
        <w:adjustRightInd w:val="0"/>
        <w:spacing w:line="560" w:lineRule="exact"/>
        <w:contextualSpacing/>
        <w:rPr>
          <w:rFonts w:ascii="楷体" w:hAnsi="楷体" w:eastAsia="楷体"/>
          <w:bCs/>
          <w:szCs w:val="32"/>
        </w:rPr>
      </w:pPr>
      <w:r>
        <w:rPr>
          <w:rFonts w:hint="eastAsia" w:ascii="楷体" w:hAnsi="楷体" w:eastAsia="楷体"/>
          <w:bCs/>
          <w:szCs w:val="32"/>
          <w:lang w:val="en-US" w:eastAsia="zh-CN"/>
        </w:rPr>
        <w:t>培养单位</w:t>
      </w:r>
      <w:r>
        <w:rPr>
          <w:rFonts w:hint="eastAsia" w:ascii="楷体" w:hAnsi="楷体" w:eastAsia="楷体"/>
          <w:bCs/>
          <w:szCs w:val="32"/>
        </w:rPr>
        <w:t xml:space="preserve">（盖章）：              </w:t>
      </w:r>
    </w:p>
    <w:p>
      <w:pPr>
        <w:adjustRightInd w:val="0"/>
        <w:spacing w:line="560" w:lineRule="exact"/>
        <w:contextualSpacing/>
        <w:rPr>
          <w:rFonts w:ascii="楷体" w:hAnsi="楷体" w:eastAsia="楷体"/>
          <w:bCs/>
          <w:szCs w:val="32"/>
        </w:rPr>
      </w:pPr>
      <w:r>
        <w:rPr>
          <w:rFonts w:hint="eastAsia" w:ascii="楷体" w:hAnsi="楷体" w:eastAsia="楷体"/>
          <w:bCs/>
          <w:szCs w:val="32"/>
        </w:rPr>
        <w:t>学科领域名称：                 学科领域代码：</w:t>
      </w:r>
    </w:p>
    <w:tbl>
      <w:tblPr>
        <w:tblStyle w:val="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835"/>
        <w:gridCol w:w="29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668" w:type="dxa"/>
            <w:shd w:val="clear" w:color="auto" w:fill="auto"/>
            <w:vAlign w:val="center"/>
          </w:tcPr>
          <w:p>
            <w:pPr>
              <w:adjustRightInd w:val="0"/>
              <w:spacing w:line="320" w:lineRule="exact"/>
              <w:contextualSpacing/>
              <w:jc w:val="center"/>
              <w:rPr>
                <w:rFonts w:hint="eastAsia" w:ascii="黑体" w:hAnsi="黑体" w:eastAsia="黑体"/>
                <w:bCs/>
                <w:sz w:val="24"/>
                <w:lang w:eastAsia="zh-CN"/>
              </w:rPr>
            </w:pPr>
            <w:r>
              <w:rPr>
                <w:rFonts w:hint="eastAsia" w:ascii="黑体" w:hAnsi="黑体" w:eastAsia="黑体"/>
                <w:bCs/>
                <w:sz w:val="24"/>
                <w:lang w:val="en-US" w:eastAsia="zh-CN"/>
              </w:rPr>
              <w:t>类别</w:t>
            </w:r>
          </w:p>
        </w:tc>
        <w:tc>
          <w:tcPr>
            <w:tcW w:w="2835" w:type="dxa"/>
            <w:shd w:val="clear" w:color="auto" w:fill="auto"/>
            <w:vAlign w:val="center"/>
          </w:tcPr>
          <w:p>
            <w:pPr>
              <w:adjustRightInd w:val="0"/>
              <w:spacing w:line="320" w:lineRule="exact"/>
              <w:contextualSpacing/>
              <w:jc w:val="center"/>
              <w:rPr>
                <w:rFonts w:ascii="黑体" w:hAnsi="黑体" w:eastAsia="黑体"/>
                <w:bCs/>
                <w:sz w:val="24"/>
              </w:rPr>
            </w:pPr>
            <w:r>
              <w:rPr>
                <w:rFonts w:hint="eastAsia" w:ascii="黑体" w:hAnsi="黑体" w:eastAsia="黑体"/>
                <w:bCs/>
                <w:sz w:val="24"/>
              </w:rPr>
              <w:t>基本条件</w:t>
            </w:r>
          </w:p>
        </w:tc>
        <w:tc>
          <w:tcPr>
            <w:tcW w:w="2976" w:type="dxa"/>
            <w:shd w:val="clear" w:color="auto" w:fill="auto"/>
            <w:vAlign w:val="center"/>
          </w:tcPr>
          <w:p>
            <w:pPr>
              <w:adjustRightInd w:val="0"/>
              <w:spacing w:line="320" w:lineRule="exact"/>
              <w:contextualSpacing/>
              <w:jc w:val="center"/>
              <w:rPr>
                <w:rFonts w:ascii="黑体" w:hAnsi="黑体" w:eastAsia="黑体"/>
                <w:bCs/>
                <w:sz w:val="24"/>
              </w:rPr>
            </w:pPr>
            <w:r>
              <w:rPr>
                <w:rFonts w:hint="eastAsia" w:ascii="黑体" w:hAnsi="黑体" w:eastAsia="黑体"/>
                <w:bCs/>
                <w:sz w:val="24"/>
              </w:rPr>
              <w:t>申报学科领域情况</w:t>
            </w:r>
          </w:p>
        </w:tc>
        <w:tc>
          <w:tcPr>
            <w:tcW w:w="1701" w:type="dxa"/>
            <w:shd w:val="clear" w:color="auto" w:fill="auto"/>
            <w:vAlign w:val="center"/>
          </w:tcPr>
          <w:p>
            <w:pPr>
              <w:adjustRightInd w:val="0"/>
              <w:spacing w:line="320" w:lineRule="exact"/>
              <w:contextualSpacing/>
              <w:jc w:val="center"/>
              <w:rPr>
                <w:rFonts w:ascii="黑体" w:hAnsi="黑体" w:eastAsia="黑体"/>
                <w:bCs/>
                <w:sz w:val="24"/>
              </w:rPr>
            </w:pPr>
            <w:r>
              <w:rPr>
                <w:rFonts w:hint="eastAsia" w:ascii="黑体" w:hAnsi="黑体" w:eastAsia="黑体"/>
                <w:bCs/>
                <w:sz w:val="24"/>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1668" w:type="dxa"/>
            <w:shd w:val="clear" w:color="auto" w:fill="auto"/>
            <w:vAlign w:val="center"/>
          </w:tcPr>
          <w:p>
            <w:pPr>
              <w:adjustRightInd w:val="0"/>
              <w:spacing w:line="560" w:lineRule="exact"/>
              <w:contextualSpacing/>
              <w:jc w:val="center"/>
              <w:rPr>
                <w:rFonts w:hint="default" w:ascii="Times New Roman" w:eastAsia="方正仿宋简体"/>
                <w:bCs/>
                <w:szCs w:val="32"/>
                <w:lang w:val="en-US" w:eastAsia="zh-CN"/>
              </w:rPr>
            </w:pPr>
            <w:r>
              <w:rPr>
                <w:rFonts w:hint="eastAsia" w:ascii="黑体" w:hAnsi="黑体" w:eastAsia="黑体"/>
                <w:bCs/>
                <w:sz w:val="24"/>
                <w:lang w:val="en-US" w:eastAsia="zh-CN"/>
              </w:rPr>
              <w:t>专业特色</w:t>
            </w:r>
          </w:p>
        </w:tc>
        <w:tc>
          <w:tcPr>
            <w:tcW w:w="2835" w:type="dxa"/>
            <w:shd w:val="clear" w:color="auto" w:fill="auto"/>
          </w:tcPr>
          <w:p>
            <w:pPr>
              <w:autoSpaceDE w:val="0"/>
              <w:autoSpaceDN w:val="0"/>
              <w:adjustRightInd w:val="0"/>
              <w:rPr>
                <w:rFonts w:ascii="Times New Roman" w:eastAsia="方正仿宋简体"/>
                <w:bCs/>
                <w:szCs w:val="32"/>
              </w:rPr>
            </w:pPr>
            <w:r>
              <w:rPr>
                <w:rFonts w:hint="eastAsia" w:ascii="宋体" w:eastAsia="宋体" w:cs="宋体" w:hAnsiTheme="minorHAnsi"/>
                <w:kern w:val="0"/>
                <w:sz w:val="21"/>
                <w:szCs w:val="21"/>
              </w:rPr>
              <w:t>应具有扎实的教师教育办学基础和良好的社会声誉，能准确理解和把握教育硕士专业学位教育的基本特性，与基础教育和中等职业技术教育具有密切联系。</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668" w:type="dxa"/>
            <w:vMerge w:val="restart"/>
            <w:shd w:val="clear" w:color="auto" w:fill="auto"/>
            <w:vAlign w:val="center"/>
          </w:tcPr>
          <w:p>
            <w:pPr>
              <w:adjustRightInd w:val="0"/>
              <w:spacing w:line="560" w:lineRule="exact"/>
              <w:contextualSpacing/>
              <w:jc w:val="center"/>
              <w:rPr>
                <w:rFonts w:hint="default" w:ascii="Times New Roman" w:eastAsia="方正仿宋简体"/>
                <w:bCs/>
                <w:szCs w:val="32"/>
                <w:lang w:val="en-US" w:eastAsia="zh-CN"/>
              </w:rPr>
            </w:pPr>
            <w:r>
              <w:rPr>
                <w:rFonts w:hint="eastAsia" w:ascii="黑体" w:hAnsi="黑体" w:eastAsia="黑体"/>
                <w:bCs/>
                <w:sz w:val="24"/>
                <w:lang w:val="en-US" w:eastAsia="zh-CN"/>
              </w:rPr>
              <w:t>学科队伍</w:t>
            </w:r>
          </w:p>
        </w:tc>
        <w:tc>
          <w:tcPr>
            <w:tcW w:w="2835" w:type="dxa"/>
            <w:shd w:val="clear" w:color="auto" w:fill="auto"/>
          </w:tcPr>
          <w:p>
            <w:pPr>
              <w:autoSpaceDE w:val="0"/>
              <w:autoSpaceDN w:val="0"/>
              <w:adjustRightInd w:val="0"/>
              <w:rPr>
                <w:rFonts w:hint="eastAsia" w:ascii="Times New Roman" w:eastAsia="宋体"/>
                <w:bCs/>
                <w:szCs w:val="32"/>
                <w:lang w:eastAsia="zh-CN"/>
              </w:rPr>
            </w:pPr>
            <w:r>
              <w:rPr>
                <w:rFonts w:hint="eastAsia" w:ascii="宋体" w:eastAsia="宋体" w:cs="宋体" w:hAnsiTheme="minorHAnsi"/>
                <w:kern w:val="0"/>
                <w:sz w:val="21"/>
                <w:szCs w:val="21"/>
              </w:rPr>
              <w:t>各申请招生专业领域的专任教师不少于5人，具有高级职称的教师不少于3人</w:t>
            </w:r>
            <w:r>
              <w:rPr>
                <w:rFonts w:hint="eastAsia" w:ascii="宋体" w:eastAsia="宋体" w:cs="宋体" w:hAnsiTheme="minorHAnsi"/>
                <w:kern w:val="0"/>
                <w:sz w:val="21"/>
                <w:szCs w:val="21"/>
                <w:lang w:eastAsia="zh-CN"/>
              </w:rPr>
              <w:t>。</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eastAsia="zh-CN"/>
              </w:rPr>
            </w:pPr>
          </w:p>
        </w:tc>
        <w:tc>
          <w:tcPr>
            <w:tcW w:w="2835" w:type="dxa"/>
            <w:shd w:val="clear" w:color="auto" w:fill="auto"/>
          </w:tcPr>
          <w:p>
            <w:pPr>
              <w:autoSpaceDE w:val="0"/>
              <w:autoSpaceDN w:val="0"/>
              <w:adjustRightInd w:val="0"/>
              <w:rPr>
                <w:rFonts w:hint="eastAsia" w:ascii="Times New Roman" w:eastAsia="宋体"/>
                <w:bCs/>
                <w:szCs w:val="32"/>
                <w:lang w:val="en-US" w:eastAsia="zh-CN"/>
              </w:rPr>
            </w:pPr>
            <w:r>
              <w:rPr>
                <w:rFonts w:hint="eastAsia" w:ascii="宋体" w:eastAsia="宋体" w:cs="宋体" w:hAnsiTheme="minorHAnsi"/>
                <w:kern w:val="0"/>
                <w:sz w:val="21"/>
                <w:szCs w:val="21"/>
                <w:lang w:val="en-US" w:eastAsia="zh-CN"/>
              </w:rPr>
              <w:t>各申请招生专业方向的专任教师不少于3人，具有高级职称的教师不少于2人。上述教师不得重 复计算。行业教师占专任教师的比例不低于 20%。</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668" w:type="dxa"/>
            <w:vMerge w:val="continue"/>
            <w:shd w:val="clear" w:color="auto" w:fill="auto"/>
          </w:tcPr>
          <w:p>
            <w:pPr>
              <w:adjustRightInd w:val="0"/>
              <w:spacing w:line="560" w:lineRule="exact"/>
              <w:contextualSpacing/>
              <w:jc w:val="center"/>
              <w:rPr>
                <w:rFonts w:ascii="Times New Roman" w:eastAsia="方正仿宋简体"/>
                <w:bCs/>
                <w:szCs w:val="32"/>
              </w:rPr>
            </w:pPr>
          </w:p>
        </w:tc>
        <w:tc>
          <w:tcPr>
            <w:tcW w:w="2835" w:type="dxa"/>
            <w:shd w:val="clear" w:color="auto" w:fill="auto"/>
          </w:tcPr>
          <w:p>
            <w:pPr>
              <w:autoSpaceDE w:val="0"/>
              <w:autoSpaceDN w:val="0"/>
              <w:adjustRightInd w:val="0"/>
              <w:rPr>
                <w:rFonts w:ascii="Times New Roman" w:eastAsia="方正仿宋简体"/>
                <w:bCs/>
                <w:szCs w:val="32"/>
              </w:rPr>
            </w:pPr>
            <w:r>
              <w:rPr>
                <w:rFonts w:hint="eastAsia" w:ascii="宋体" w:eastAsia="宋体" w:cs="宋体" w:hAnsiTheme="minorHAnsi"/>
                <w:kern w:val="0"/>
                <w:sz w:val="21"/>
                <w:szCs w:val="21"/>
                <w:lang w:val="en-US" w:eastAsia="zh-CN"/>
              </w:rPr>
              <w:t>专任教师中，45 岁以下的比例不低于30%，在外单位获硕士以上学位的比例不低于20%，具有高级职称的比例不低于60%，具有博士学位的比例不低于30%，有行 业经验的比例不低于50%。</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rPr>
                <w:rFonts w:hint="eastAsia" w:ascii="宋体" w:eastAsia="宋体" w:cs="宋体" w:hAnsiTheme="minorHAnsi"/>
                <w:kern w:val="0"/>
                <w:sz w:val="21"/>
                <w:szCs w:val="21"/>
                <w:lang w:eastAsia="zh-CN"/>
              </w:rPr>
            </w:pPr>
            <w:r>
              <w:rPr>
                <w:rFonts w:hint="eastAsia" w:ascii="宋体" w:eastAsia="宋体" w:cs="宋体" w:hAnsiTheme="minorHAnsi"/>
                <w:kern w:val="0"/>
                <w:sz w:val="21"/>
                <w:szCs w:val="21"/>
              </w:rPr>
              <w:t>近5年，骨干教师发表高水平学术论文不少于5篇；主持省部级及以上基础教育或中等职业技术教育研究的课题不少于1项，出版本专业学术著作不少于1部。</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vMerge w:val="restart"/>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lang w:eastAsia="zh-CN"/>
              </w:rPr>
            </w:pPr>
            <w:r>
              <w:rPr>
                <w:rFonts w:hint="eastAsia" w:ascii="宋体" w:eastAsia="宋体" w:cs="宋体" w:hAnsiTheme="minorHAnsi"/>
                <w:kern w:val="0"/>
                <w:sz w:val="21"/>
                <w:szCs w:val="21"/>
              </w:rPr>
              <w:t>骨干教师中拥有一定学术影响力的不少于1人，在省级以上相关学术团体或行业协会兼任常务理事及以上职务者不少于1人。</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vMerge w:val="continue"/>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eastAsia="zh-CN"/>
              </w:rPr>
            </w:pPr>
          </w:p>
        </w:tc>
        <w:tc>
          <w:tcPr>
            <w:tcW w:w="2835" w:type="dxa"/>
            <w:shd w:val="clear" w:color="auto" w:fill="auto"/>
          </w:tcPr>
          <w:p>
            <w:pPr>
              <w:autoSpaceDE w:val="0"/>
              <w:autoSpaceDN w:val="0"/>
              <w:adjustRightInd w:val="0"/>
              <w:jc w:val="left"/>
              <w:rPr>
                <w:rFonts w:hint="eastAsia" w:ascii="Times New Roman" w:eastAsia="宋体"/>
                <w:bCs/>
                <w:szCs w:val="32"/>
                <w:lang w:eastAsia="zh-CN"/>
              </w:rPr>
            </w:pPr>
            <w:r>
              <w:rPr>
                <w:rFonts w:hint="eastAsia" w:ascii="宋体" w:eastAsia="宋体" w:cs="宋体" w:hAnsiTheme="minorHAnsi"/>
                <w:kern w:val="0"/>
                <w:sz w:val="21"/>
                <w:szCs w:val="21"/>
              </w:rPr>
              <w:t>骨干教师在其他单位同类专业学位担任导师并招收培养硕士研究生的比例不低于20%。</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668" w:type="dxa"/>
            <w:vMerge w:val="restart"/>
            <w:shd w:val="clear" w:color="auto" w:fill="auto"/>
            <w:vAlign w:val="center"/>
          </w:tcPr>
          <w:p>
            <w:pPr>
              <w:adjustRightInd w:val="0"/>
              <w:spacing w:line="560" w:lineRule="exact"/>
              <w:contextualSpacing/>
              <w:jc w:val="center"/>
              <w:rPr>
                <w:rFonts w:hint="default" w:ascii="Times New Roman" w:eastAsia="方正仿宋简体"/>
                <w:bCs/>
                <w:szCs w:val="32"/>
                <w:lang w:val="en-US" w:eastAsia="zh-CN"/>
              </w:rPr>
            </w:pPr>
            <w:r>
              <w:rPr>
                <w:rFonts w:hint="eastAsia" w:ascii="黑体" w:hAnsi="黑体" w:eastAsia="黑体"/>
                <w:bCs/>
                <w:sz w:val="24"/>
                <w:lang w:val="en-US" w:eastAsia="zh-CN"/>
              </w:rPr>
              <w:t>人才培养</w:t>
            </w: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lang w:eastAsia="zh-CN"/>
              </w:rPr>
            </w:pPr>
            <w:r>
              <w:rPr>
                <w:rFonts w:hint="eastAsia" w:ascii="宋体" w:eastAsia="宋体" w:cs="宋体" w:hAnsiTheme="minorHAnsi"/>
                <w:kern w:val="0"/>
                <w:sz w:val="21"/>
                <w:szCs w:val="21"/>
              </w:rPr>
              <w:t>有5届及以上师范专业本科毕业生</w:t>
            </w:r>
            <w:bookmarkStart w:id="2" w:name="_GoBack"/>
            <w:bookmarkEnd w:id="2"/>
            <w:r>
              <w:rPr>
                <w:rFonts w:hint="eastAsia" w:ascii="宋体" w:eastAsia="宋体" w:cs="宋体" w:hAnsiTheme="minorHAnsi"/>
                <w:kern w:val="0"/>
                <w:sz w:val="21"/>
                <w:szCs w:val="21"/>
                <w:lang w:eastAsia="zh-CN"/>
              </w:rPr>
              <w:t>。</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rPr>
              <w:t>近5年，相关院系获得省部级及以上相关教学成果奖不少于1项。</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restart"/>
            <w:shd w:val="clear" w:color="auto" w:fill="auto"/>
            <w:vAlign w:val="center"/>
          </w:tcPr>
          <w:p>
            <w:pPr>
              <w:adjustRightInd w:val="0"/>
              <w:spacing w:line="560" w:lineRule="exact"/>
              <w:contextualSpacing/>
              <w:jc w:val="center"/>
              <w:rPr>
                <w:rFonts w:hint="eastAsia" w:ascii="黑体" w:hAnsi="黑体" w:eastAsia="黑体"/>
                <w:bCs/>
                <w:sz w:val="24"/>
                <w:lang w:val="en-US" w:eastAsia="zh-CN"/>
              </w:rPr>
            </w:pPr>
            <w:r>
              <w:rPr>
                <w:rFonts w:hint="eastAsia" w:ascii="黑体" w:hAnsi="黑体" w:eastAsia="黑体"/>
                <w:bCs/>
                <w:sz w:val="24"/>
                <w:lang w:val="en-US" w:eastAsia="zh-CN"/>
              </w:rPr>
              <w:t>培养环境</w:t>
            </w:r>
          </w:p>
          <w:p>
            <w:pPr>
              <w:adjustRightInd w:val="0"/>
              <w:spacing w:line="560" w:lineRule="exact"/>
              <w:contextualSpacing/>
              <w:jc w:val="center"/>
              <w:rPr>
                <w:rFonts w:hint="default" w:ascii="Times New Roman" w:eastAsia="方正仿宋简体"/>
                <w:bCs/>
                <w:szCs w:val="32"/>
                <w:lang w:val="en-US" w:eastAsia="zh-CN"/>
              </w:rPr>
            </w:pPr>
            <w:r>
              <w:rPr>
                <w:rFonts w:hint="eastAsia" w:ascii="黑体" w:hAnsi="黑体" w:eastAsia="黑体"/>
                <w:bCs/>
                <w:sz w:val="24"/>
                <w:lang w:val="en-US" w:eastAsia="zh-CN"/>
              </w:rPr>
              <w:t>与条件</w:t>
            </w: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rPr>
              <w:t>近5年，批准立项的基础教育、中等职业技术教育研究项目人均不少于2项，其中专任教师主持省部级及以上基础教育、中等职业技术教育科研项目人均不少于1项，行业教师主持地、市级以上（不含校级）教育科研项目人均不少于1项。</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rPr>
              <w:t>近5年</w:t>
            </w:r>
            <w:r>
              <w:rPr>
                <w:rFonts w:hint="eastAsia" w:ascii="宋体" w:eastAsia="宋体" w:cs="宋体" w:hAnsiTheme="minorHAnsi"/>
                <w:kern w:val="0"/>
                <w:sz w:val="21"/>
                <w:szCs w:val="21"/>
                <w:lang w:eastAsia="zh-CN"/>
              </w:rPr>
              <w:t>，</w:t>
            </w:r>
            <w:r>
              <w:rPr>
                <w:rFonts w:hint="eastAsia" w:ascii="宋体" w:eastAsia="宋体" w:cs="宋体" w:hAnsiTheme="minorHAnsi"/>
                <w:kern w:val="0"/>
                <w:sz w:val="21"/>
                <w:szCs w:val="21"/>
              </w:rPr>
              <w:t>专任教师基础教育、中等职业技术教育科研项目经费人均不少于5万元；</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rPr>
              <w:t>近5年</w:t>
            </w:r>
            <w:r>
              <w:rPr>
                <w:rFonts w:hint="eastAsia" w:ascii="宋体" w:eastAsia="宋体" w:cs="宋体" w:hAnsiTheme="minorHAnsi"/>
                <w:kern w:val="0"/>
                <w:sz w:val="21"/>
                <w:szCs w:val="21"/>
                <w:lang w:eastAsia="zh-CN"/>
              </w:rPr>
              <w:t>，</w:t>
            </w:r>
            <w:r>
              <w:rPr>
                <w:rFonts w:hint="eastAsia" w:ascii="宋体" w:eastAsia="宋体" w:cs="宋体" w:hAnsiTheme="minorHAnsi"/>
                <w:kern w:val="0"/>
                <w:sz w:val="21"/>
                <w:szCs w:val="21"/>
              </w:rPr>
              <w:t>发表基础教育、中等职业技术教育的高水平学术论文或出版教育类著作人均不少于3篇（部）</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lang w:val="en-US" w:eastAsia="zh-CN"/>
              </w:rPr>
              <w:t>近5年，</w:t>
            </w:r>
            <w:r>
              <w:rPr>
                <w:rFonts w:hint="eastAsia" w:ascii="宋体" w:eastAsia="宋体" w:cs="宋体" w:hAnsiTheme="minorHAnsi"/>
                <w:kern w:val="0"/>
                <w:sz w:val="21"/>
                <w:szCs w:val="21"/>
              </w:rPr>
              <w:t>获得的专利授权、被地市级及以上党政部门采纳的实验或咨询报告、主持制定基础教育、中等职业技术教育的技术规范或行业标准等 应用性成果不少于2件（份）。</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lang w:val="en-US" w:eastAsia="zh-CN"/>
              </w:rPr>
            </w:pPr>
            <w:r>
              <w:rPr>
                <w:rFonts w:hint="eastAsia" w:ascii="宋体" w:eastAsia="宋体" w:cs="宋体" w:hAnsiTheme="minorHAnsi"/>
                <w:kern w:val="0"/>
                <w:sz w:val="21"/>
                <w:szCs w:val="21"/>
              </w:rPr>
              <w:t>近5年获省部级及以上教育科研奖不少于3项。</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68" w:type="dxa"/>
            <w:vMerge w:val="continue"/>
            <w:shd w:val="clear" w:color="auto" w:fill="auto"/>
            <w:vAlign w:val="center"/>
          </w:tcPr>
          <w:p>
            <w:pPr>
              <w:adjustRightInd w:val="0"/>
              <w:spacing w:line="560" w:lineRule="exact"/>
              <w:contextualSpacing/>
              <w:jc w:val="center"/>
              <w:rPr>
                <w:rFonts w:hint="eastAsia" w:ascii="Times New Roman" w:eastAsia="方正仿宋简体"/>
                <w:bCs/>
                <w:szCs w:val="32"/>
                <w:lang w:val="en-US" w:eastAsia="zh-CN"/>
              </w:rPr>
            </w:pPr>
          </w:p>
        </w:tc>
        <w:tc>
          <w:tcPr>
            <w:tcW w:w="2835" w:type="dxa"/>
            <w:shd w:val="clear" w:color="auto" w:fill="auto"/>
          </w:tcPr>
          <w:p>
            <w:pPr>
              <w:autoSpaceDE w:val="0"/>
              <w:autoSpaceDN w:val="0"/>
              <w:adjustRightInd w:val="0"/>
              <w:jc w:val="left"/>
              <w:rPr>
                <w:rFonts w:hint="eastAsia" w:ascii="宋体" w:eastAsia="宋体" w:cs="宋体" w:hAnsiTheme="minorHAnsi"/>
                <w:kern w:val="0"/>
                <w:sz w:val="21"/>
                <w:szCs w:val="21"/>
              </w:rPr>
            </w:pPr>
            <w:r>
              <w:rPr>
                <w:rFonts w:hint="eastAsia" w:ascii="宋体" w:eastAsia="宋体" w:cs="宋体" w:hAnsiTheme="minorHAnsi"/>
                <w:kern w:val="0"/>
                <w:sz w:val="21"/>
                <w:szCs w:val="21"/>
              </w:rPr>
              <w:t>有不少于3个联合培养基地，每个基地每年可接收开展实践活动的学生人数不少于5人。</w:t>
            </w:r>
          </w:p>
        </w:tc>
        <w:tc>
          <w:tcPr>
            <w:tcW w:w="2976" w:type="dxa"/>
            <w:shd w:val="clear" w:color="auto" w:fill="auto"/>
          </w:tcPr>
          <w:p>
            <w:pPr>
              <w:adjustRightInd w:val="0"/>
              <w:spacing w:line="560" w:lineRule="exact"/>
              <w:contextualSpacing/>
              <w:jc w:val="center"/>
              <w:rPr>
                <w:rFonts w:ascii="Times New Roman" w:eastAsia="方正仿宋简体"/>
                <w:bCs/>
                <w:szCs w:val="32"/>
              </w:rPr>
            </w:pPr>
          </w:p>
        </w:tc>
        <w:tc>
          <w:tcPr>
            <w:tcW w:w="1701" w:type="dxa"/>
            <w:shd w:val="clear" w:color="auto" w:fill="auto"/>
          </w:tcPr>
          <w:p>
            <w:pPr>
              <w:adjustRightInd w:val="0"/>
              <w:spacing w:line="560" w:lineRule="exact"/>
              <w:contextualSpacing/>
              <w:jc w:val="center"/>
              <w:rPr>
                <w:rFonts w:ascii="Times New Roman" w:eastAsia="方正仿宋简体"/>
                <w:bCs/>
                <w:szCs w:val="32"/>
              </w:rPr>
            </w:pPr>
          </w:p>
        </w:tc>
      </w:tr>
    </w:tbl>
    <w:p>
      <w:pPr>
        <w:adjustRightInd w:val="0"/>
        <w:spacing w:line="320" w:lineRule="exact"/>
        <w:contextualSpacing/>
        <w:jc w:val="left"/>
        <w:rPr>
          <w:rFonts w:ascii="宋体" w:hAnsi="宋体" w:eastAsia="宋体"/>
          <w:bCs/>
          <w:sz w:val="24"/>
        </w:rPr>
      </w:pPr>
    </w:p>
    <w:tbl>
      <w:tblPr>
        <w:tblStyle w:val="4"/>
        <w:tblW w:w="13488" w:type="dxa"/>
        <w:tblInd w:w="93" w:type="dxa"/>
        <w:tblLayout w:type="autofit"/>
        <w:tblCellMar>
          <w:top w:w="0" w:type="dxa"/>
          <w:left w:w="108" w:type="dxa"/>
          <w:bottom w:w="0" w:type="dxa"/>
          <w:right w:w="108" w:type="dxa"/>
        </w:tblCellMar>
      </w:tblPr>
      <w:tblGrid>
        <w:gridCol w:w="13488"/>
      </w:tblGrid>
      <w:tr>
        <w:tblPrEx>
          <w:tblCellMar>
            <w:top w:w="0" w:type="dxa"/>
            <w:left w:w="108" w:type="dxa"/>
            <w:bottom w:w="0" w:type="dxa"/>
            <w:right w:w="108" w:type="dxa"/>
          </w:tblCellMar>
        </w:tblPrEx>
        <w:trPr>
          <w:trHeight w:val="499" w:hRule="atLeast"/>
        </w:trPr>
        <w:tc>
          <w:tcPr>
            <w:tcW w:w="13488" w:type="dxa"/>
            <w:tcBorders>
              <w:top w:val="nil"/>
              <w:left w:val="nil"/>
              <w:bottom w:val="nil"/>
              <w:right w:val="nil"/>
            </w:tcBorders>
            <w:shd w:val="clear" w:color="auto" w:fill="auto"/>
            <w:vAlign w:val="center"/>
          </w:tcPr>
          <w:p>
            <w:pPr>
              <w:widowControl/>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学科领域申报工作负责人：</w:t>
            </w:r>
          </w:p>
          <w:p>
            <w:pPr>
              <w:widowControl/>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填表人：</w:t>
            </w:r>
          </w:p>
          <w:p>
            <w:pPr>
              <w:widowControl/>
              <w:spacing w:line="360" w:lineRule="auto"/>
              <w:jc w:val="left"/>
              <w:rPr>
                <w:rFonts w:ascii="宋体" w:hAnsi="宋体" w:eastAsia="宋体" w:cs="宋体"/>
                <w:kern w:val="0"/>
                <w:sz w:val="22"/>
                <w:szCs w:val="22"/>
              </w:rPr>
            </w:pPr>
            <w:r>
              <w:rPr>
                <w:rFonts w:hint="eastAsia" w:ascii="宋体" w:hAnsi="宋体" w:eastAsia="宋体" w:cs="宋体"/>
                <w:kern w:val="0"/>
                <w:sz w:val="28"/>
                <w:szCs w:val="28"/>
              </w:rPr>
              <w:t>联系电话：</w:t>
            </w:r>
          </w:p>
        </w:tc>
      </w:tr>
    </w:tbl>
    <w:p>
      <w:pPr>
        <w:adjustRightInd w:val="0"/>
        <w:spacing w:line="320" w:lineRule="exact"/>
        <w:contextualSpacing/>
        <w:jc w:val="left"/>
        <w:rPr>
          <w:rFonts w:ascii="宋体" w:hAnsi="宋体" w:eastAsia="宋体"/>
          <w:bCs/>
          <w:sz w:val="24"/>
        </w:rPr>
      </w:pPr>
    </w:p>
    <w:p>
      <w:pPr>
        <w:adjustRightInd w:val="0"/>
        <w:spacing w:line="320" w:lineRule="exact"/>
        <w:contextualSpacing/>
        <w:jc w:val="left"/>
        <w:rPr>
          <w:rFonts w:ascii="宋体" w:hAnsi="宋体" w:eastAsia="宋体"/>
          <w:bCs/>
          <w:sz w:val="24"/>
        </w:rPr>
      </w:pPr>
      <w:r>
        <w:rPr>
          <w:rFonts w:hint="eastAsia" w:ascii="宋体" w:hAnsi="宋体" w:eastAsia="宋体"/>
          <w:b/>
          <w:bCs/>
          <w:sz w:val="24"/>
        </w:rPr>
        <w:t>注：</w:t>
      </w:r>
      <w:r>
        <w:rPr>
          <w:rFonts w:hint="eastAsia" w:ascii="华文楷体" w:hAnsi="华文楷体" w:eastAsia="华文楷体"/>
          <w:bCs/>
          <w:sz w:val="24"/>
        </w:rPr>
        <w:t>“申报学科领域情况”指申报学科领域对应指标的具体情况，与提交的“简况表”完全一致，并有相关证明材料</w:t>
      </w:r>
      <w:r>
        <w:rPr>
          <w:rFonts w:hint="eastAsia" w:ascii="宋体" w:hAnsi="宋体" w:eastAsia="宋体"/>
          <w:bCs/>
          <w:sz w:val="24"/>
        </w:rPr>
        <w:t>。</w:t>
      </w:r>
    </w:p>
    <w:p>
      <w:pPr>
        <w:adjustRightInd w:val="0"/>
        <w:spacing w:line="320" w:lineRule="exact"/>
        <w:contextualSpacing/>
        <w:jc w:val="left"/>
        <w:rPr>
          <w:rFonts w:ascii="宋体" w:hAnsi="宋体" w:eastAsia="宋体"/>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宋体"/>
    <w:panose1 w:val="00000000000000000000"/>
    <w:charset w:val="86"/>
    <w:family w:val="roman"/>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5050EA"/>
    <w:rsid w:val="00106404"/>
    <w:rsid w:val="00314EAC"/>
    <w:rsid w:val="004E1C89"/>
    <w:rsid w:val="005050EA"/>
    <w:rsid w:val="00593DFC"/>
    <w:rsid w:val="0061061D"/>
    <w:rsid w:val="006769BF"/>
    <w:rsid w:val="00683B23"/>
    <w:rsid w:val="00690FDE"/>
    <w:rsid w:val="006A231E"/>
    <w:rsid w:val="006C354B"/>
    <w:rsid w:val="00756169"/>
    <w:rsid w:val="008069CE"/>
    <w:rsid w:val="008558A9"/>
    <w:rsid w:val="008B458C"/>
    <w:rsid w:val="00927E4B"/>
    <w:rsid w:val="009349AF"/>
    <w:rsid w:val="00934F4C"/>
    <w:rsid w:val="009B0579"/>
    <w:rsid w:val="009C1283"/>
    <w:rsid w:val="009E4F08"/>
    <w:rsid w:val="00AA57FF"/>
    <w:rsid w:val="00AE2428"/>
    <w:rsid w:val="00C25814"/>
    <w:rsid w:val="00C670E1"/>
    <w:rsid w:val="00D11DED"/>
    <w:rsid w:val="00D617D9"/>
    <w:rsid w:val="00DF7475"/>
    <w:rsid w:val="00E902ED"/>
    <w:rsid w:val="00EB1CCE"/>
    <w:rsid w:val="00EC16CF"/>
    <w:rsid w:val="28F626FF"/>
    <w:rsid w:val="4B485663"/>
    <w:rsid w:val="66476A6C"/>
    <w:rsid w:val="71243375"/>
    <w:rsid w:val="7CCE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仿宋_gb2312" w:hAnsi="Times New Roman" w:eastAsia="仿宋_gb2312" w:cs="Times New Roman"/>
      <w:sz w:val="18"/>
      <w:szCs w:val="18"/>
    </w:rPr>
  </w:style>
  <w:style w:type="character" w:customStyle="1" w:styleId="7">
    <w:name w:val="页脚 Char"/>
    <w:basedOn w:val="5"/>
    <w:link w:val="2"/>
    <w:semiHidden/>
    <w:uiPriority w:val="99"/>
    <w:rPr>
      <w:rFonts w:ascii="仿宋_gb2312"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919132-9962-46FB-99D9-AEB622EE82D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207</Words>
  <Characters>1182</Characters>
  <Lines>9</Lines>
  <Paragraphs>2</Paragraphs>
  <TotalTime>2</TotalTime>
  <ScaleCrop>false</ScaleCrop>
  <LinksUpToDate>false</LinksUpToDate>
  <CharactersWithSpaces>1387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2017-06-09T05:07:00Z</dcterms:created>
  <dc:creator>User</dc:creator>
  <cp:lastModifiedBy>sparkqq</cp:lastModifiedBy>
  <cp:lastPrinted>2019-03-22T05:09:00Z</cp:lastPrinted>
  <dcterms:modified xsi:type="dcterms:W3CDTF">2022-07-20T02:28:00Z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7B4A56E7348D4F4680CB506DFBB5117E</vt:lpwstr>
  </property>
</Properties>
</file>