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BFE" w:rsidRPr="00D75BFE" w:rsidRDefault="00D75BFE" w:rsidP="00D75BFE">
      <w:pPr>
        <w:widowControl/>
        <w:adjustRightInd w:val="0"/>
        <w:snapToGrid w:val="0"/>
        <w:spacing w:line="500" w:lineRule="exact"/>
        <w:jc w:val="left"/>
        <w:outlineLvl w:val="0"/>
        <w:rPr>
          <w:rFonts w:ascii="仿宋_GB2312" w:eastAsia="仿宋_GB2312" w:hAnsi="宋体" w:cs="宋体" w:hint="eastAsia"/>
          <w:color w:val="000000"/>
          <w:kern w:val="36"/>
          <w:sz w:val="32"/>
          <w:szCs w:val="33"/>
        </w:rPr>
      </w:pPr>
      <w:r w:rsidRPr="00D75BFE">
        <w:rPr>
          <w:rFonts w:ascii="仿宋_GB2312" w:eastAsia="仿宋_GB2312" w:hAnsi="宋体" w:cs="宋体" w:hint="eastAsia"/>
          <w:color w:val="000000"/>
          <w:kern w:val="36"/>
          <w:sz w:val="32"/>
          <w:szCs w:val="33"/>
        </w:rPr>
        <w:t>附件3：</w:t>
      </w:r>
    </w:p>
    <w:p w:rsidR="00FF6B9A" w:rsidRPr="00FF6B9A" w:rsidRDefault="00FF6B9A" w:rsidP="00FF6B9A">
      <w:pPr>
        <w:widowControl/>
        <w:adjustRightInd w:val="0"/>
        <w:snapToGrid w:val="0"/>
        <w:spacing w:line="500" w:lineRule="exact"/>
        <w:jc w:val="center"/>
        <w:outlineLvl w:val="0"/>
        <w:rPr>
          <w:rFonts w:ascii="方正小标宋简体" w:eastAsia="方正小标宋简体" w:hAnsi="宋体" w:cs="宋体"/>
          <w:color w:val="000000"/>
          <w:kern w:val="36"/>
          <w:sz w:val="36"/>
          <w:szCs w:val="33"/>
        </w:rPr>
      </w:pPr>
      <w:r w:rsidRPr="00FF6B9A">
        <w:rPr>
          <w:rFonts w:ascii="方正小标宋简体" w:eastAsia="方正小标宋简体" w:hAnsi="宋体" w:cs="宋体" w:hint="eastAsia"/>
          <w:color w:val="000000"/>
          <w:kern w:val="36"/>
          <w:sz w:val="36"/>
          <w:szCs w:val="33"/>
        </w:rPr>
        <w:t>国家公派留学访问学者类别外语合格条件</w:t>
      </w:r>
    </w:p>
    <w:p w:rsidR="00FF6B9A" w:rsidRDefault="00FF6B9A" w:rsidP="00FF6B9A">
      <w:pPr>
        <w:widowControl/>
        <w:shd w:val="clear" w:color="auto" w:fill="FFFFFF"/>
        <w:adjustRightInd w:val="0"/>
        <w:snapToGrid w:val="0"/>
        <w:spacing w:line="500" w:lineRule="exact"/>
        <w:ind w:firstLine="562"/>
        <w:jc w:val="left"/>
        <w:rPr>
          <w:rFonts w:ascii="宋体" w:eastAsia="宋体" w:hAnsi="宋体" w:cs="宋体"/>
          <w:color w:val="555555"/>
          <w:kern w:val="0"/>
          <w:sz w:val="18"/>
          <w:szCs w:val="18"/>
        </w:rPr>
      </w:pPr>
    </w:p>
    <w:p w:rsidR="00FF6B9A" w:rsidRPr="00FF6B9A" w:rsidRDefault="00FF6B9A" w:rsidP="00FF6B9A">
      <w:pPr>
        <w:widowControl/>
        <w:shd w:val="clear" w:color="auto" w:fill="FFFFFF"/>
        <w:adjustRightInd w:val="0"/>
        <w:snapToGrid w:val="0"/>
        <w:spacing w:line="500" w:lineRule="exact"/>
        <w:ind w:firstLine="562"/>
        <w:jc w:val="left"/>
        <w:rPr>
          <w:rFonts w:ascii="仿宋_GB2312" w:eastAsia="仿宋_GB2312" w:hAnsi="宋体" w:cs="宋体"/>
          <w:color w:val="000000"/>
          <w:kern w:val="0"/>
          <w:sz w:val="28"/>
          <w:szCs w:val="24"/>
        </w:rPr>
      </w:pPr>
      <w:r w:rsidRPr="00FF6B9A">
        <w:rPr>
          <w:rFonts w:ascii="仿宋_GB2312" w:eastAsia="仿宋_GB2312" w:hAnsi="宋体" w:cs="宋体" w:hint="eastAsia"/>
          <w:b/>
          <w:bCs/>
          <w:color w:val="000000"/>
          <w:kern w:val="0"/>
          <w:sz w:val="28"/>
          <w:szCs w:val="24"/>
        </w:rPr>
        <w:t>一、高级研究学者、访问学者及博士后类别申请人，外语水平需达到以下条件之一：</w:t>
      </w:r>
      <w:bookmarkStart w:id="0" w:name="_GoBack"/>
      <w:bookmarkEnd w:id="0"/>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1.参加“全国外语水平考试</w:t>
      </w:r>
      <w:r w:rsidRPr="00FF6B9A">
        <w:rPr>
          <w:rFonts w:ascii="仿宋_GB2312" w:eastAsia="仿宋_GB2312" w:hAnsi="宋体" w:cs="宋体" w:hint="eastAsia"/>
          <w:color w:val="000000"/>
          <w:kern w:val="0"/>
          <w:sz w:val="28"/>
          <w:szCs w:val="24"/>
        </w:rPr>
        <w:t> </w:t>
      </w:r>
      <w:r w:rsidRPr="00FF6B9A">
        <w:rPr>
          <w:rFonts w:ascii="仿宋_GB2312" w:eastAsia="仿宋_GB2312" w:hAnsi="宋体" w:cs="宋体" w:hint="eastAsia"/>
          <w:color w:val="000000"/>
          <w:kern w:val="0"/>
          <w:sz w:val="28"/>
          <w:szCs w:val="24"/>
        </w:rPr>
        <w:t>(WSK)”并达到合格标准。各语种要求如下：</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英语（PETS5）：笔试总分55分（含）以上，其中听力部分18分（含）以上，口试总分3分（含）以上；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德语(NTD)：笔试总分65分（含）以上；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法语(TNF)：笔试总分60分（含）以上；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日语（NNS）/俄语（ТЛРЯ）：笔试总分60分（含）以上，其中口试总分3分（含）以上。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2.外语专业本科（含）以上毕业（专业语种应与留学目的国使用的语种一致）。</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3.近十年内曾在同一语种国家或地区连续留学8个月（含）以上，或连续工作12个月（含）以上，或曾以国家公派高级研究学者身份留学3个月（含）以上。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4.曾在教育部指定出国留学人员培训部参加相应语种培训并获结业证书。各语种要求如下：</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英语：高级班结业证书；</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德语、法语、日语、俄语、西班牙语、意大利语：中级班结业证书。</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5.参加雅思、托福、德语、法语、西班牙语、意大利语、日语、韩语水平考试，成绩达到以下标准：</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雅思（学术类）6.5分、托福网考95分；</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lastRenderedPageBreak/>
        <w:t>德语、法语、西班牙语、意大利语达到欧洲统一语言参考框架（CECRL）B2级；</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日语达到日本语能力测试（JLPT）三级（N3）；</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韩语达到TOPIK3级。</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6.赴英语、德语、法语、日语、俄语、西班牙语、意大利语以外其他语种国家留学者，通过国外拟留学单位组织的对该语种的面试或考试等方式达到其语言要求（应在外方邀请信中注明或单独出具证明）。</w:t>
      </w:r>
    </w:p>
    <w:p w:rsidR="00FF6B9A" w:rsidRPr="00FF6B9A" w:rsidRDefault="00FF6B9A" w:rsidP="00FF6B9A">
      <w:pPr>
        <w:widowControl/>
        <w:shd w:val="clear" w:color="auto" w:fill="FFFFFF"/>
        <w:adjustRightInd w:val="0"/>
        <w:snapToGrid w:val="0"/>
        <w:spacing w:line="500" w:lineRule="exact"/>
        <w:ind w:firstLine="562"/>
        <w:jc w:val="left"/>
        <w:rPr>
          <w:rFonts w:ascii="仿宋_GB2312" w:eastAsia="仿宋_GB2312" w:hAnsi="宋体" w:cs="宋体"/>
          <w:color w:val="000000"/>
          <w:kern w:val="0"/>
          <w:sz w:val="28"/>
          <w:szCs w:val="24"/>
        </w:rPr>
      </w:pPr>
      <w:r w:rsidRPr="00FF6B9A">
        <w:rPr>
          <w:rFonts w:ascii="仿宋_GB2312" w:eastAsia="仿宋_GB2312" w:hAnsi="宋体" w:cs="宋体" w:hint="eastAsia"/>
          <w:b/>
          <w:bCs/>
          <w:color w:val="000000"/>
          <w:kern w:val="0"/>
          <w:sz w:val="28"/>
          <w:szCs w:val="24"/>
        </w:rPr>
        <w:t>二、关于外语合格条件的说明</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w:t>
      </w:r>
      <w:r w:rsidRPr="00FF6B9A">
        <w:rPr>
          <w:rFonts w:ascii="仿宋_GB2312" w:eastAsia="仿宋_GB2312" w:hAnsi="宋体" w:cs="宋体" w:hint="eastAsia"/>
          <w:b/>
          <w:color w:val="000000"/>
          <w:kern w:val="0"/>
          <w:sz w:val="28"/>
          <w:szCs w:val="24"/>
        </w:rPr>
        <w:t>成绩有效期均为两年</w:t>
      </w:r>
      <w:r w:rsidRPr="00FF6B9A">
        <w:rPr>
          <w:rFonts w:ascii="仿宋_GB2312" w:eastAsia="仿宋_GB2312" w:hAnsi="宋体" w:cs="宋体" w:hint="eastAsia"/>
          <w:color w:val="000000"/>
          <w:kern w:val="0"/>
          <w:sz w:val="28"/>
          <w:szCs w:val="24"/>
        </w:rPr>
        <w:t>。</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2.全国外语水平考试（WSK）的证明材料为全国外语水平考试</w:t>
      </w:r>
      <w:r w:rsidRPr="00FF6B9A">
        <w:rPr>
          <w:rFonts w:ascii="仿宋_GB2312" w:eastAsia="仿宋_GB2312" w:hAnsi="宋体" w:cs="宋体" w:hint="eastAsia"/>
          <w:color w:val="000000"/>
          <w:kern w:val="0"/>
          <w:sz w:val="28"/>
          <w:szCs w:val="24"/>
        </w:rPr>
        <w:t> </w:t>
      </w:r>
      <w:r w:rsidRPr="00FF6B9A">
        <w:rPr>
          <w:rFonts w:ascii="仿宋_GB2312" w:eastAsia="仿宋_GB2312" w:hAnsi="宋体" w:cs="宋体" w:hint="eastAsia"/>
          <w:color w:val="000000"/>
          <w:kern w:val="0"/>
          <w:sz w:val="28"/>
          <w:szCs w:val="24"/>
        </w:rPr>
        <w:t>(WSK)成绩通知单。</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3.外语专业本科（含）以上毕业的证明材料为</w:t>
      </w:r>
      <w:r w:rsidRPr="00FF6B9A">
        <w:rPr>
          <w:rFonts w:ascii="仿宋_GB2312" w:eastAsia="仿宋_GB2312" w:hAnsi="宋体" w:cs="宋体" w:hint="eastAsia"/>
          <w:b/>
          <w:color w:val="000000"/>
          <w:kern w:val="0"/>
          <w:sz w:val="28"/>
          <w:szCs w:val="24"/>
        </w:rPr>
        <w:t>学历或学位证书</w:t>
      </w:r>
      <w:r w:rsidRPr="00FF6B9A">
        <w:rPr>
          <w:rFonts w:ascii="仿宋_GB2312" w:eastAsia="仿宋_GB2312" w:hAnsi="宋体" w:cs="宋体" w:hint="eastAsia"/>
          <w:color w:val="000000"/>
          <w:kern w:val="0"/>
          <w:sz w:val="28"/>
          <w:szCs w:val="24"/>
        </w:rPr>
        <w:t>。</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4.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5.德语、法语、西班牙语、意大利语达到欧洲统一语言参考框架（CECRL）B2级包括参加相应语种考试并取得等同于CECRL B2级的证书或成绩，如德语TestDaF12分以上，法语TEF541分以上、TCF400分以上、DELFB2，西班牙语TELEB2，意大利语CELI3、CILSDue B2、PLIDA B2等。</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lastRenderedPageBreak/>
        <w:t>6.赴非英语国家外语合格条件的说明</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外方邀请信须明确工作语言。</w:t>
      </w:r>
      <w:r w:rsidRPr="00FF6B9A">
        <w:rPr>
          <w:rFonts w:ascii="仿宋_GB2312" w:eastAsia="仿宋_GB2312" w:hAnsi="宋体" w:cs="宋体" w:hint="eastAsia"/>
          <w:b/>
          <w:color w:val="000000"/>
          <w:kern w:val="0"/>
          <w:sz w:val="28"/>
          <w:szCs w:val="24"/>
        </w:rPr>
        <w:t>对外方邀请信中明确表述可使用英语作为工作语言的留学人员，英语达到国家公派合格标准也可以申请并派出，</w:t>
      </w:r>
      <w:r w:rsidRPr="00FF6B9A">
        <w:rPr>
          <w:rFonts w:ascii="仿宋_GB2312" w:eastAsia="仿宋_GB2312" w:hAnsi="宋体" w:cs="宋体" w:hint="eastAsia"/>
          <w:color w:val="000000"/>
          <w:kern w:val="0"/>
          <w:sz w:val="28"/>
          <w:szCs w:val="24"/>
        </w:rPr>
        <w:t>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CF771E" w:rsidRPr="00FF6B9A" w:rsidRDefault="00CF771E" w:rsidP="00FF6B9A">
      <w:pPr>
        <w:adjustRightInd w:val="0"/>
        <w:snapToGrid w:val="0"/>
        <w:spacing w:line="500" w:lineRule="exact"/>
        <w:rPr>
          <w:rFonts w:ascii="仿宋_GB2312" w:eastAsia="仿宋_GB2312"/>
          <w:sz w:val="22"/>
        </w:rPr>
      </w:pPr>
    </w:p>
    <w:sectPr w:rsidR="00CF771E" w:rsidRPr="00FF6B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E41" w:rsidRDefault="009E4E41" w:rsidP="00350710">
      <w:r>
        <w:separator/>
      </w:r>
    </w:p>
  </w:endnote>
  <w:endnote w:type="continuationSeparator" w:id="0">
    <w:p w:rsidR="009E4E41" w:rsidRDefault="009E4E41" w:rsidP="0035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E41" w:rsidRDefault="009E4E41" w:rsidP="00350710">
      <w:r>
        <w:separator/>
      </w:r>
    </w:p>
  </w:footnote>
  <w:footnote w:type="continuationSeparator" w:id="0">
    <w:p w:rsidR="009E4E41" w:rsidRDefault="009E4E41" w:rsidP="00350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readOnly" w:enforcement="1" w:cryptProviderType="rsaFull" w:cryptAlgorithmClass="hash" w:cryptAlgorithmType="typeAny" w:cryptAlgorithmSid="4" w:cryptSpinCount="100000" w:hash="lhqjQoMk7QmgPM+pde84wNG/eEc=" w:salt="8Ct6mVVMUNKFLDzShWQml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A6"/>
    <w:rsid w:val="000D2600"/>
    <w:rsid w:val="001364A6"/>
    <w:rsid w:val="0033393B"/>
    <w:rsid w:val="00350710"/>
    <w:rsid w:val="009E4E41"/>
    <w:rsid w:val="00CF771E"/>
    <w:rsid w:val="00D75BFE"/>
    <w:rsid w:val="00DB34A7"/>
    <w:rsid w:val="00DC24DA"/>
    <w:rsid w:val="00EA49E2"/>
    <w:rsid w:val="00FF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6B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6B9A"/>
    <w:rPr>
      <w:rFonts w:ascii="宋体" w:eastAsia="宋体" w:hAnsi="宋体" w:cs="宋体"/>
      <w:b/>
      <w:bCs/>
      <w:kern w:val="36"/>
      <w:sz w:val="48"/>
      <w:szCs w:val="48"/>
    </w:rPr>
  </w:style>
  <w:style w:type="paragraph" w:styleId="a3">
    <w:name w:val="header"/>
    <w:basedOn w:val="a"/>
    <w:link w:val="Char"/>
    <w:uiPriority w:val="99"/>
    <w:unhideWhenUsed/>
    <w:rsid w:val="003507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710"/>
    <w:rPr>
      <w:sz w:val="18"/>
      <w:szCs w:val="18"/>
    </w:rPr>
  </w:style>
  <w:style w:type="paragraph" w:styleId="a4">
    <w:name w:val="footer"/>
    <w:basedOn w:val="a"/>
    <w:link w:val="Char0"/>
    <w:uiPriority w:val="99"/>
    <w:unhideWhenUsed/>
    <w:rsid w:val="00350710"/>
    <w:pPr>
      <w:tabs>
        <w:tab w:val="center" w:pos="4153"/>
        <w:tab w:val="right" w:pos="8306"/>
      </w:tabs>
      <w:snapToGrid w:val="0"/>
      <w:jc w:val="left"/>
    </w:pPr>
    <w:rPr>
      <w:sz w:val="18"/>
      <w:szCs w:val="18"/>
    </w:rPr>
  </w:style>
  <w:style w:type="character" w:customStyle="1" w:styleId="Char0">
    <w:name w:val="页脚 Char"/>
    <w:basedOn w:val="a0"/>
    <w:link w:val="a4"/>
    <w:uiPriority w:val="99"/>
    <w:rsid w:val="003507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6B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6B9A"/>
    <w:rPr>
      <w:rFonts w:ascii="宋体" w:eastAsia="宋体" w:hAnsi="宋体" w:cs="宋体"/>
      <w:b/>
      <w:bCs/>
      <w:kern w:val="36"/>
      <w:sz w:val="48"/>
      <w:szCs w:val="48"/>
    </w:rPr>
  </w:style>
  <w:style w:type="paragraph" w:styleId="a3">
    <w:name w:val="header"/>
    <w:basedOn w:val="a"/>
    <w:link w:val="Char"/>
    <w:uiPriority w:val="99"/>
    <w:unhideWhenUsed/>
    <w:rsid w:val="003507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710"/>
    <w:rPr>
      <w:sz w:val="18"/>
      <w:szCs w:val="18"/>
    </w:rPr>
  </w:style>
  <w:style w:type="paragraph" w:styleId="a4">
    <w:name w:val="footer"/>
    <w:basedOn w:val="a"/>
    <w:link w:val="Char0"/>
    <w:uiPriority w:val="99"/>
    <w:unhideWhenUsed/>
    <w:rsid w:val="00350710"/>
    <w:pPr>
      <w:tabs>
        <w:tab w:val="center" w:pos="4153"/>
        <w:tab w:val="right" w:pos="8306"/>
      </w:tabs>
      <w:snapToGrid w:val="0"/>
      <w:jc w:val="left"/>
    </w:pPr>
    <w:rPr>
      <w:sz w:val="18"/>
      <w:szCs w:val="18"/>
    </w:rPr>
  </w:style>
  <w:style w:type="character" w:customStyle="1" w:styleId="Char0">
    <w:name w:val="页脚 Char"/>
    <w:basedOn w:val="a0"/>
    <w:link w:val="a4"/>
    <w:uiPriority w:val="99"/>
    <w:rsid w:val="003507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43827">
      <w:bodyDiv w:val="1"/>
      <w:marLeft w:val="0"/>
      <w:marRight w:val="0"/>
      <w:marTop w:val="0"/>
      <w:marBottom w:val="0"/>
      <w:divBdr>
        <w:top w:val="none" w:sz="0" w:space="0" w:color="auto"/>
        <w:left w:val="none" w:sz="0" w:space="0" w:color="auto"/>
        <w:bottom w:val="none" w:sz="0" w:space="0" w:color="auto"/>
        <w:right w:val="none" w:sz="0" w:space="0" w:color="auto"/>
      </w:divBdr>
      <w:divsChild>
        <w:div w:id="983465946">
          <w:marLeft w:val="0"/>
          <w:marRight w:val="0"/>
          <w:marTop w:val="0"/>
          <w:marBottom w:val="0"/>
          <w:divBdr>
            <w:top w:val="none" w:sz="0" w:space="0" w:color="auto"/>
            <w:left w:val="none" w:sz="0" w:space="0" w:color="auto"/>
            <w:bottom w:val="single" w:sz="36" w:space="15" w:color="EBEBEB"/>
            <w:right w:val="none" w:sz="0" w:space="0" w:color="auto"/>
          </w:divBdr>
        </w:div>
        <w:div w:id="503278116">
          <w:marLeft w:val="0"/>
          <w:marRight w:val="0"/>
          <w:marTop w:val="0"/>
          <w:marBottom w:val="0"/>
          <w:divBdr>
            <w:top w:val="none" w:sz="0" w:space="0" w:color="auto"/>
            <w:left w:val="none" w:sz="0" w:space="0" w:color="auto"/>
            <w:bottom w:val="none" w:sz="0" w:space="0" w:color="auto"/>
            <w:right w:val="none" w:sz="0" w:space="0" w:color="auto"/>
          </w:divBdr>
          <w:divsChild>
            <w:div w:id="18610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210</Words>
  <Characters>1197</Characters>
  <Application>Microsoft Office Word</Application>
  <DocSecurity>8</DocSecurity>
  <Lines>9</Lines>
  <Paragraphs>2</Paragraphs>
  <ScaleCrop>false</ScaleCrop>
  <Company>P R C</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2020-05-09T03:13:00Z</dcterms:created>
  <dcterms:modified xsi:type="dcterms:W3CDTF">2020-10-23T06:25:00Z</dcterms:modified>
</cp:coreProperties>
</file>